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9A" w:rsidRDefault="00E25F9A" w:rsidP="00F96E27">
      <w:pPr>
        <w:spacing w:line="480" w:lineRule="auto"/>
        <w:ind w:firstLine="720"/>
        <w:jc w:val="center"/>
        <w:rPr>
          <w:rFonts w:ascii="Times New Roman" w:hAnsi="Times New Roman" w:cs="Times New Roman"/>
          <w:sz w:val="24"/>
          <w:szCs w:val="24"/>
        </w:rPr>
      </w:pPr>
    </w:p>
    <w:p w:rsidR="00E25F9A" w:rsidRDefault="00E25F9A" w:rsidP="00F96E27">
      <w:pPr>
        <w:spacing w:line="480" w:lineRule="auto"/>
        <w:ind w:firstLine="720"/>
        <w:jc w:val="center"/>
        <w:rPr>
          <w:rFonts w:ascii="Times New Roman" w:hAnsi="Times New Roman" w:cs="Times New Roman"/>
          <w:sz w:val="24"/>
          <w:szCs w:val="24"/>
        </w:rPr>
      </w:pPr>
    </w:p>
    <w:p w:rsidR="00E25F9A" w:rsidRDefault="00E25F9A" w:rsidP="00F96E27">
      <w:pPr>
        <w:spacing w:line="480" w:lineRule="auto"/>
        <w:ind w:firstLine="720"/>
        <w:jc w:val="center"/>
        <w:rPr>
          <w:rFonts w:ascii="Times New Roman" w:hAnsi="Times New Roman" w:cs="Times New Roman"/>
          <w:sz w:val="24"/>
          <w:szCs w:val="24"/>
        </w:rPr>
      </w:pPr>
    </w:p>
    <w:p w:rsidR="00FF4901" w:rsidRDefault="00FF4901" w:rsidP="00F96E27">
      <w:pPr>
        <w:spacing w:line="480" w:lineRule="auto"/>
        <w:ind w:firstLine="720"/>
        <w:jc w:val="center"/>
        <w:rPr>
          <w:rFonts w:ascii="Times New Roman" w:hAnsi="Times New Roman" w:cs="Times New Roman"/>
          <w:b/>
          <w:bCs/>
          <w:sz w:val="24"/>
          <w:szCs w:val="24"/>
        </w:rPr>
      </w:pPr>
    </w:p>
    <w:p w:rsidR="00F96E27" w:rsidRPr="00E25F9A" w:rsidRDefault="00F96E27" w:rsidP="00F96E27">
      <w:pPr>
        <w:spacing w:line="480" w:lineRule="auto"/>
        <w:ind w:firstLine="720"/>
        <w:jc w:val="center"/>
        <w:rPr>
          <w:rFonts w:ascii="Times New Roman" w:hAnsi="Times New Roman" w:cs="Times New Roman"/>
          <w:b/>
          <w:bCs/>
          <w:sz w:val="24"/>
          <w:szCs w:val="24"/>
        </w:rPr>
      </w:pPr>
      <w:r w:rsidRPr="00E25F9A">
        <w:rPr>
          <w:rFonts w:ascii="Times New Roman" w:hAnsi="Times New Roman" w:cs="Times New Roman"/>
          <w:b/>
          <w:bCs/>
          <w:sz w:val="24"/>
          <w:szCs w:val="24"/>
        </w:rPr>
        <w:t>Dictatorship and Assassination of Julius Caesar</w:t>
      </w: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D15AA4" w:rsidRDefault="00D15AA4" w:rsidP="00D15AA4">
      <w:pPr>
        <w:pStyle w:val="NormalWeb"/>
        <w:spacing w:before="0" w:beforeAutospacing="0" w:after="0" w:afterAutospacing="0" w:line="480" w:lineRule="auto"/>
        <w:jc w:val="center"/>
        <w:rPr>
          <w:b/>
          <w:bCs/>
        </w:rPr>
      </w:pPr>
    </w:p>
    <w:p w:rsidR="00E25F9A" w:rsidRDefault="00E25F9A" w:rsidP="00D15AA4">
      <w:pPr>
        <w:pStyle w:val="NormalWeb"/>
        <w:spacing w:before="0" w:beforeAutospacing="0" w:after="0" w:afterAutospacing="0" w:line="480" w:lineRule="auto"/>
        <w:jc w:val="center"/>
        <w:rPr>
          <w:b/>
          <w:bCs/>
        </w:rPr>
      </w:pP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Name</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Institution</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Course</w:t>
      </w:r>
    </w:p>
    <w:p w:rsidR="00D15AA4" w:rsidRPr="006A7A77" w:rsidRDefault="00D15AA4" w:rsidP="00D15AA4">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D15AA4" w:rsidRDefault="00D15AA4" w:rsidP="00D15AA4">
      <w:pPr>
        <w:pStyle w:val="NormalWeb"/>
        <w:spacing w:before="0" w:beforeAutospacing="0" w:after="0" w:afterAutospacing="0" w:line="480" w:lineRule="auto"/>
        <w:jc w:val="center"/>
        <w:rPr>
          <w:color w:val="0E101A"/>
        </w:rPr>
      </w:pPr>
      <w:r w:rsidRPr="006A7A77">
        <w:rPr>
          <w:color w:val="0E101A"/>
        </w:rPr>
        <w:t>Date</w:t>
      </w:r>
    </w:p>
    <w:p w:rsidR="00D15AA4" w:rsidRPr="001A07B1" w:rsidRDefault="00D15AA4" w:rsidP="00D15AA4">
      <w:pPr>
        <w:rPr>
          <w:rFonts w:ascii="Times New Roman" w:eastAsia="Times New Roman" w:hAnsi="Times New Roman" w:cs="Times New Roman"/>
          <w:color w:val="0E101A"/>
          <w:sz w:val="24"/>
          <w:szCs w:val="24"/>
        </w:rPr>
      </w:pPr>
      <w:r>
        <w:rPr>
          <w:color w:val="0E101A"/>
        </w:rPr>
        <w:br w:type="page"/>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lastRenderedPageBreak/>
        <w:t xml:space="preserve">In chapter five of </w:t>
      </w:r>
      <w:r w:rsidRPr="00D35E11">
        <w:rPr>
          <w:rFonts w:ascii="Times New Roman" w:hAnsi="Times New Roman" w:cs="Times New Roman"/>
          <w:i/>
          <w:iCs/>
          <w:sz w:val="24"/>
          <w:szCs w:val="24"/>
        </w:rPr>
        <w:t>A Companion to Julius Caes</w:t>
      </w:r>
      <w:r w:rsidR="00E25F9A">
        <w:rPr>
          <w:rFonts w:ascii="Times New Roman" w:hAnsi="Times New Roman" w:cs="Times New Roman"/>
          <w:i/>
          <w:iCs/>
          <w:sz w:val="24"/>
          <w:szCs w:val="24"/>
        </w:rPr>
        <w:t>a</w:t>
      </w:r>
      <w:r w:rsidRPr="00D35E11">
        <w:rPr>
          <w:rFonts w:ascii="Times New Roman" w:hAnsi="Times New Roman" w:cs="Times New Roman"/>
          <w:i/>
          <w:iCs/>
          <w:sz w:val="24"/>
          <w:szCs w:val="24"/>
        </w:rPr>
        <w:t>r</w:t>
      </w:r>
      <w:r w:rsidRPr="0017277E">
        <w:rPr>
          <w:rFonts w:ascii="Times New Roman" w:hAnsi="Times New Roman" w:cs="Times New Roman"/>
          <w:sz w:val="24"/>
          <w:szCs w:val="24"/>
        </w:rPr>
        <w:t xml:space="preserve">, the existence, forces, and historical history of Republican Rome's magistracies and political institutions are discussed by </w:t>
      </w:r>
      <w:r>
        <w:rPr>
          <w:rFonts w:ascii="Times New Roman" w:hAnsi="Times New Roman" w:cs="Times New Roman"/>
          <w:sz w:val="24"/>
          <w:szCs w:val="24"/>
        </w:rPr>
        <w:t>Gardener</w:t>
      </w:r>
      <w:r w:rsidRPr="0017277E">
        <w:rPr>
          <w:rFonts w:ascii="Times New Roman" w:hAnsi="Times New Roman" w:cs="Times New Roman"/>
          <w:sz w:val="24"/>
          <w:szCs w:val="24"/>
        </w:rPr>
        <w:t xml:space="preserve">. During the period 49–44 BC, Caesar's constitutional powers were derived in part from the consulship, which he was </w:t>
      </w:r>
      <w:r>
        <w:rPr>
          <w:rFonts w:ascii="Times New Roman" w:hAnsi="Times New Roman" w:cs="Times New Roman"/>
          <w:sz w:val="24"/>
          <w:szCs w:val="24"/>
        </w:rPr>
        <w:t>voted</w:t>
      </w:r>
      <w:r w:rsidRPr="0017277E">
        <w:rPr>
          <w:rFonts w:ascii="Times New Roman" w:hAnsi="Times New Roman" w:cs="Times New Roman"/>
          <w:sz w:val="24"/>
          <w:szCs w:val="24"/>
        </w:rPr>
        <w:t xml:space="preserve"> to four times </w:t>
      </w:r>
      <w:r>
        <w:rPr>
          <w:rFonts w:ascii="Times New Roman" w:hAnsi="Times New Roman" w:cs="Times New Roman"/>
          <w:sz w:val="24"/>
          <w:szCs w:val="24"/>
        </w:rPr>
        <w:t>from</w:t>
      </w:r>
      <w:r w:rsidRPr="0017277E">
        <w:rPr>
          <w:rFonts w:ascii="Times New Roman" w:hAnsi="Times New Roman" w:cs="Times New Roman"/>
          <w:sz w:val="24"/>
          <w:szCs w:val="24"/>
        </w:rPr>
        <w:t xml:space="preserve">48, 46–44, and in part from the </w:t>
      </w:r>
      <w:r>
        <w:rPr>
          <w:rFonts w:ascii="Times New Roman" w:hAnsi="Times New Roman" w:cs="Times New Roman"/>
          <w:sz w:val="24"/>
          <w:szCs w:val="24"/>
        </w:rPr>
        <w:t>totalitarianism</w:t>
      </w:r>
      <w:r w:rsidRPr="0017277E">
        <w:rPr>
          <w:rFonts w:ascii="Times New Roman" w:hAnsi="Times New Roman" w:cs="Times New Roman"/>
          <w:sz w:val="24"/>
          <w:szCs w:val="24"/>
        </w:rPr>
        <w:t xml:space="preserve">, which he was </w:t>
      </w:r>
      <w:r>
        <w:rPr>
          <w:rFonts w:ascii="Times New Roman" w:hAnsi="Times New Roman" w:cs="Times New Roman"/>
          <w:sz w:val="24"/>
          <w:szCs w:val="24"/>
        </w:rPr>
        <w:t>select</w:t>
      </w:r>
      <w:r w:rsidRPr="0017277E">
        <w:rPr>
          <w:rFonts w:ascii="Times New Roman" w:hAnsi="Times New Roman" w:cs="Times New Roman"/>
          <w:sz w:val="24"/>
          <w:szCs w:val="24"/>
        </w:rPr>
        <w:t>ed to irregularly in 49</w:t>
      </w:r>
      <w:r>
        <w:rPr>
          <w:rStyle w:val="FootnoteReference"/>
          <w:rFonts w:ascii="Times New Roman" w:hAnsi="Times New Roman" w:cs="Times New Roman"/>
          <w:sz w:val="24"/>
          <w:szCs w:val="24"/>
        </w:rPr>
        <w:footnoteReference w:id="2"/>
      </w:r>
      <w:r w:rsidRPr="0017277E">
        <w:rPr>
          <w:rFonts w:ascii="Times New Roman" w:hAnsi="Times New Roman" w:cs="Times New Roman"/>
          <w:sz w:val="24"/>
          <w:szCs w:val="24"/>
        </w:rPr>
        <w:t xml:space="preserve">. A dictator was </w:t>
      </w:r>
      <w:r>
        <w:rPr>
          <w:rFonts w:ascii="Times New Roman" w:hAnsi="Times New Roman" w:cs="Times New Roman"/>
          <w:sz w:val="24"/>
          <w:szCs w:val="24"/>
        </w:rPr>
        <w:t>often chosen</w:t>
      </w:r>
      <w:r w:rsidRPr="0017277E">
        <w:rPr>
          <w:rFonts w:ascii="Times New Roman" w:hAnsi="Times New Roman" w:cs="Times New Roman"/>
          <w:sz w:val="24"/>
          <w:szCs w:val="24"/>
        </w:rPr>
        <w:t xml:space="preserve"> directly by a consul rather than being elected. </w:t>
      </w:r>
      <w:r>
        <w:rPr>
          <w:rFonts w:ascii="Times New Roman" w:hAnsi="Times New Roman" w:cs="Times New Roman"/>
          <w:sz w:val="24"/>
          <w:szCs w:val="24"/>
        </w:rPr>
        <w:t>His</w:t>
      </w:r>
      <w:r w:rsidRPr="0017277E">
        <w:rPr>
          <w:rFonts w:ascii="Times New Roman" w:hAnsi="Times New Roman" w:cs="Times New Roman"/>
          <w:sz w:val="24"/>
          <w:szCs w:val="24"/>
        </w:rPr>
        <w:t xml:space="preserve"> most pressing need in 49 BC was rapid election to the </w:t>
      </w:r>
      <w:r>
        <w:rPr>
          <w:rFonts w:ascii="Times New Roman" w:hAnsi="Times New Roman" w:cs="Times New Roman"/>
          <w:sz w:val="24"/>
          <w:szCs w:val="24"/>
        </w:rPr>
        <w:t>diplomacy</w:t>
      </w:r>
      <w:r w:rsidRPr="0017277E">
        <w:rPr>
          <w:rFonts w:ascii="Times New Roman" w:hAnsi="Times New Roman" w:cs="Times New Roman"/>
          <w:sz w:val="24"/>
          <w:szCs w:val="24"/>
        </w:rPr>
        <w:t xml:space="preserve"> for 48, but the consular elections for 48 could not be </w:t>
      </w:r>
      <w:r>
        <w:rPr>
          <w:rFonts w:ascii="Times New Roman" w:hAnsi="Times New Roman" w:cs="Times New Roman"/>
          <w:sz w:val="24"/>
          <w:szCs w:val="24"/>
        </w:rPr>
        <w:t>done</w:t>
      </w:r>
      <w:r w:rsidRPr="0017277E">
        <w:rPr>
          <w:rFonts w:ascii="Times New Roman" w:hAnsi="Times New Roman" w:cs="Times New Roman"/>
          <w:sz w:val="24"/>
          <w:szCs w:val="24"/>
        </w:rPr>
        <w:t xml:space="preserve"> because both </w:t>
      </w:r>
      <w:r>
        <w:rPr>
          <w:rFonts w:ascii="Times New Roman" w:hAnsi="Times New Roman" w:cs="Times New Roman"/>
          <w:sz w:val="24"/>
          <w:szCs w:val="24"/>
        </w:rPr>
        <w:t>emissaries</w:t>
      </w:r>
      <w:r w:rsidRPr="0017277E">
        <w:rPr>
          <w:rFonts w:ascii="Times New Roman" w:hAnsi="Times New Roman" w:cs="Times New Roman"/>
          <w:sz w:val="24"/>
          <w:szCs w:val="24"/>
        </w:rPr>
        <w:t xml:space="preserve"> had already left Italy earl</w:t>
      </w:r>
      <w:r>
        <w:rPr>
          <w:rFonts w:ascii="Times New Roman" w:hAnsi="Times New Roman" w:cs="Times New Roman"/>
          <w:sz w:val="24"/>
          <w:szCs w:val="24"/>
        </w:rPr>
        <w:t>ier</w:t>
      </w:r>
      <w:r w:rsidRPr="0017277E">
        <w:rPr>
          <w:rFonts w:ascii="Times New Roman" w:hAnsi="Times New Roman" w:cs="Times New Roman"/>
          <w:sz w:val="24"/>
          <w:szCs w:val="24"/>
        </w:rPr>
        <w:t xml:space="preserve"> in 49. Under the Republic, dictators were appointed only on rare occasions to </w:t>
      </w:r>
      <w:r>
        <w:rPr>
          <w:rFonts w:ascii="Times New Roman" w:hAnsi="Times New Roman" w:cs="Times New Roman"/>
          <w:sz w:val="24"/>
          <w:szCs w:val="24"/>
        </w:rPr>
        <w:t>handle</w:t>
      </w:r>
      <w:r w:rsidRPr="0017277E">
        <w:rPr>
          <w:rFonts w:ascii="Times New Roman" w:hAnsi="Times New Roman" w:cs="Times New Roman"/>
          <w:sz w:val="24"/>
          <w:szCs w:val="24"/>
        </w:rPr>
        <w:t xml:space="preserve"> a </w:t>
      </w:r>
      <w:r>
        <w:rPr>
          <w:rFonts w:ascii="Times New Roman" w:hAnsi="Times New Roman" w:cs="Times New Roman"/>
          <w:sz w:val="24"/>
          <w:szCs w:val="24"/>
        </w:rPr>
        <w:t>list</w:t>
      </w:r>
      <w:r w:rsidRPr="0017277E">
        <w:rPr>
          <w:rFonts w:ascii="Times New Roman" w:hAnsi="Times New Roman" w:cs="Times New Roman"/>
          <w:sz w:val="24"/>
          <w:szCs w:val="24"/>
        </w:rPr>
        <w:t xml:space="preserve"> of pressing needs, and the functions of the office seem to have never been established in law</w:t>
      </w:r>
      <w:r>
        <w:rPr>
          <w:rStyle w:val="FootnoteReference"/>
          <w:rFonts w:ascii="Times New Roman" w:hAnsi="Times New Roman" w:cs="Times New Roman"/>
          <w:sz w:val="24"/>
          <w:szCs w:val="24"/>
        </w:rPr>
        <w:footnoteReference w:id="3"/>
      </w:r>
      <w:r w:rsidRPr="0017277E">
        <w:rPr>
          <w:rFonts w:ascii="Times New Roman" w:hAnsi="Times New Roman" w:cs="Times New Roman"/>
          <w:sz w:val="24"/>
          <w:szCs w:val="24"/>
        </w:rPr>
        <w:t xml:space="preserve">. </w:t>
      </w:r>
      <w:r>
        <w:rPr>
          <w:rFonts w:ascii="Times New Roman" w:hAnsi="Times New Roman" w:cs="Times New Roman"/>
          <w:sz w:val="24"/>
          <w:szCs w:val="24"/>
        </w:rPr>
        <w:t>T</w:t>
      </w:r>
      <w:r w:rsidRPr="0017277E">
        <w:rPr>
          <w:rFonts w:ascii="Times New Roman" w:hAnsi="Times New Roman" w:cs="Times New Roman"/>
          <w:sz w:val="24"/>
          <w:szCs w:val="24"/>
        </w:rPr>
        <w:t xml:space="preserve">o the contrary, these </w:t>
      </w:r>
      <w:r>
        <w:rPr>
          <w:rFonts w:ascii="Times New Roman" w:hAnsi="Times New Roman" w:cs="Times New Roman"/>
          <w:sz w:val="24"/>
          <w:szCs w:val="24"/>
        </w:rPr>
        <w:t>authorities</w:t>
      </w:r>
      <w:r w:rsidRPr="0017277E">
        <w:rPr>
          <w:rFonts w:ascii="Times New Roman" w:hAnsi="Times New Roman" w:cs="Times New Roman"/>
          <w:sz w:val="24"/>
          <w:szCs w:val="24"/>
        </w:rPr>
        <w:t xml:space="preserve"> do not seem to have been seen as complete or superseding those of other </w:t>
      </w:r>
      <w:r>
        <w:rPr>
          <w:rFonts w:ascii="Times New Roman" w:hAnsi="Times New Roman" w:cs="Times New Roman"/>
          <w:sz w:val="24"/>
          <w:szCs w:val="24"/>
        </w:rPr>
        <w:t>judges</w:t>
      </w:r>
      <w:r w:rsidRPr="0017277E">
        <w:rPr>
          <w:rFonts w:ascii="Times New Roman" w:hAnsi="Times New Roman" w:cs="Times New Roman"/>
          <w:sz w:val="24"/>
          <w:szCs w:val="24"/>
        </w:rPr>
        <w:t xml:space="preserve"> in practice</w:t>
      </w:r>
      <w:r>
        <w:rPr>
          <w:rFonts w:ascii="Times New Roman" w:hAnsi="Times New Roman" w:cs="Times New Roman"/>
          <w:sz w:val="24"/>
          <w:szCs w:val="24"/>
        </w:rPr>
        <w:t>.</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Historically, the dictatorship served as a temporary magistracy to </w:t>
      </w:r>
      <w:r>
        <w:rPr>
          <w:rFonts w:ascii="Times New Roman" w:hAnsi="Times New Roman" w:cs="Times New Roman"/>
          <w:sz w:val="24"/>
          <w:szCs w:val="24"/>
        </w:rPr>
        <w:t>perform</w:t>
      </w:r>
      <w:r w:rsidRPr="0017277E">
        <w:rPr>
          <w:rFonts w:ascii="Times New Roman" w:hAnsi="Times New Roman" w:cs="Times New Roman"/>
          <w:sz w:val="24"/>
          <w:szCs w:val="24"/>
        </w:rPr>
        <w:t xml:space="preserve"> any civil</w:t>
      </w:r>
      <w:r>
        <w:rPr>
          <w:rFonts w:ascii="Times New Roman" w:hAnsi="Times New Roman" w:cs="Times New Roman"/>
          <w:sz w:val="24"/>
          <w:szCs w:val="24"/>
        </w:rPr>
        <w:t xml:space="preserve"> or army</w:t>
      </w:r>
      <w:r w:rsidRPr="0017277E">
        <w:rPr>
          <w:rFonts w:ascii="Times New Roman" w:hAnsi="Times New Roman" w:cs="Times New Roman"/>
          <w:sz w:val="24"/>
          <w:szCs w:val="24"/>
        </w:rPr>
        <w:t xml:space="preserve"> duties that the </w:t>
      </w:r>
      <w:r>
        <w:rPr>
          <w:rFonts w:ascii="Times New Roman" w:hAnsi="Times New Roman" w:cs="Times New Roman"/>
          <w:sz w:val="24"/>
          <w:szCs w:val="24"/>
        </w:rPr>
        <w:t>diplomat</w:t>
      </w:r>
      <w:r w:rsidRPr="0017277E">
        <w:rPr>
          <w:rFonts w:ascii="Times New Roman" w:hAnsi="Times New Roman" w:cs="Times New Roman"/>
          <w:sz w:val="24"/>
          <w:szCs w:val="24"/>
        </w:rPr>
        <w:t xml:space="preserve">s could not perform. </w:t>
      </w:r>
      <w:r>
        <w:rPr>
          <w:rFonts w:ascii="Times New Roman" w:hAnsi="Times New Roman" w:cs="Times New Roman"/>
          <w:sz w:val="24"/>
          <w:szCs w:val="24"/>
        </w:rPr>
        <w:t>U</w:t>
      </w:r>
      <w:r w:rsidRPr="0017277E">
        <w:rPr>
          <w:rFonts w:ascii="Times New Roman" w:hAnsi="Times New Roman" w:cs="Times New Roman"/>
          <w:sz w:val="24"/>
          <w:szCs w:val="24"/>
        </w:rPr>
        <w:t xml:space="preserve">nlike a </w:t>
      </w:r>
      <w:r>
        <w:rPr>
          <w:rFonts w:ascii="Times New Roman" w:hAnsi="Times New Roman" w:cs="Times New Roman"/>
          <w:sz w:val="24"/>
          <w:szCs w:val="24"/>
        </w:rPr>
        <w:t>diplomat</w:t>
      </w:r>
      <w:r w:rsidRPr="0017277E">
        <w:rPr>
          <w:rFonts w:ascii="Times New Roman" w:hAnsi="Times New Roman" w:cs="Times New Roman"/>
          <w:sz w:val="24"/>
          <w:szCs w:val="24"/>
        </w:rPr>
        <w:t>, the tyrant had an assistant, who was not an equ</w:t>
      </w:r>
      <w:r>
        <w:rPr>
          <w:rFonts w:ascii="Times New Roman" w:hAnsi="Times New Roman" w:cs="Times New Roman"/>
          <w:sz w:val="24"/>
          <w:szCs w:val="24"/>
        </w:rPr>
        <w:t>iv</w:t>
      </w:r>
      <w:r w:rsidRPr="0017277E">
        <w:rPr>
          <w:rFonts w:ascii="Times New Roman" w:hAnsi="Times New Roman" w:cs="Times New Roman"/>
          <w:sz w:val="24"/>
          <w:szCs w:val="24"/>
        </w:rPr>
        <w:t>al</w:t>
      </w:r>
      <w:r>
        <w:rPr>
          <w:rFonts w:ascii="Times New Roman" w:hAnsi="Times New Roman" w:cs="Times New Roman"/>
          <w:sz w:val="24"/>
          <w:szCs w:val="24"/>
        </w:rPr>
        <w:t>ent</w:t>
      </w:r>
      <w:r w:rsidRPr="0017277E">
        <w:rPr>
          <w:rFonts w:ascii="Times New Roman" w:hAnsi="Times New Roman" w:cs="Times New Roman"/>
          <w:sz w:val="24"/>
          <w:szCs w:val="24"/>
        </w:rPr>
        <w:t xml:space="preserve"> colleague but was directly </w:t>
      </w:r>
      <w:r>
        <w:rPr>
          <w:rFonts w:ascii="Times New Roman" w:hAnsi="Times New Roman" w:cs="Times New Roman"/>
          <w:sz w:val="24"/>
          <w:szCs w:val="24"/>
        </w:rPr>
        <w:t>chosen</w:t>
      </w:r>
      <w:r w:rsidRPr="0017277E">
        <w:rPr>
          <w:rFonts w:ascii="Times New Roman" w:hAnsi="Times New Roman" w:cs="Times New Roman"/>
          <w:sz w:val="24"/>
          <w:szCs w:val="24"/>
        </w:rPr>
        <w:t xml:space="preserve"> by him and was exclusively accountable to </w:t>
      </w:r>
      <w:r>
        <w:rPr>
          <w:rFonts w:ascii="Times New Roman" w:hAnsi="Times New Roman" w:cs="Times New Roman"/>
          <w:sz w:val="24"/>
          <w:szCs w:val="24"/>
        </w:rPr>
        <w:t>Caes</w:t>
      </w:r>
      <w:r w:rsidR="00E25F9A">
        <w:rPr>
          <w:rFonts w:ascii="Times New Roman" w:hAnsi="Times New Roman" w:cs="Times New Roman"/>
          <w:sz w:val="24"/>
          <w:szCs w:val="24"/>
        </w:rPr>
        <w:t>a</w:t>
      </w:r>
      <w:r>
        <w:rPr>
          <w:rFonts w:ascii="Times New Roman" w:hAnsi="Times New Roman" w:cs="Times New Roman"/>
          <w:sz w:val="24"/>
          <w:szCs w:val="24"/>
        </w:rPr>
        <w:t>r</w:t>
      </w:r>
      <w:r>
        <w:rPr>
          <w:rStyle w:val="FootnoteReference"/>
          <w:rFonts w:ascii="Times New Roman" w:hAnsi="Times New Roman" w:cs="Times New Roman"/>
          <w:sz w:val="24"/>
          <w:szCs w:val="24"/>
        </w:rPr>
        <w:footnoteReference w:id="4"/>
      </w:r>
      <w:r w:rsidRPr="0017277E">
        <w:rPr>
          <w:rFonts w:ascii="Times New Roman" w:hAnsi="Times New Roman" w:cs="Times New Roman"/>
          <w:sz w:val="24"/>
          <w:szCs w:val="24"/>
        </w:rPr>
        <w:t>. According to the author, a dictator might call assemblies. It is uncertain if he will be able to address them with legislation explicitly. Rome's last two dictators</w:t>
      </w:r>
      <w:r>
        <w:rPr>
          <w:rFonts w:ascii="Times New Roman" w:hAnsi="Times New Roman" w:cs="Times New Roman"/>
          <w:sz w:val="24"/>
          <w:szCs w:val="24"/>
        </w:rPr>
        <w:t xml:space="preserve">, </w:t>
      </w:r>
      <w:r w:rsidRPr="0017277E">
        <w:rPr>
          <w:rFonts w:ascii="Times New Roman" w:hAnsi="Times New Roman" w:cs="Times New Roman"/>
          <w:sz w:val="24"/>
          <w:szCs w:val="24"/>
        </w:rPr>
        <w:t>Caesar</w:t>
      </w:r>
      <w:r>
        <w:rPr>
          <w:rFonts w:ascii="Times New Roman" w:hAnsi="Times New Roman" w:cs="Times New Roman"/>
          <w:sz w:val="24"/>
          <w:szCs w:val="24"/>
        </w:rPr>
        <w:t xml:space="preserve"> and Sulla</w:t>
      </w:r>
      <w:r w:rsidRPr="0017277E">
        <w:rPr>
          <w:rFonts w:ascii="Times New Roman" w:hAnsi="Times New Roman" w:cs="Times New Roman"/>
          <w:sz w:val="24"/>
          <w:szCs w:val="24"/>
        </w:rPr>
        <w:t xml:space="preserve">, are unable to </w:t>
      </w:r>
      <w:r>
        <w:rPr>
          <w:rFonts w:ascii="Times New Roman" w:hAnsi="Times New Roman" w:cs="Times New Roman"/>
          <w:sz w:val="24"/>
          <w:szCs w:val="24"/>
        </w:rPr>
        <w:t>give</w:t>
      </w:r>
      <w:r w:rsidRPr="0017277E">
        <w:rPr>
          <w:rFonts w:ascii="Times New Roman" w:hAnsi="Times New Roman" w:cs="Times New Roman"/>
          <w:sz w:val="24"/>
          <w:szCs w:val="24"/>
        </w:rPr>
        <w:t xml:space="preserve"> a definitive</w:t>
      </w:r>
      <w:r>
        <w:rPr>
          <w:rFonts w:ascii="Times New Roman" w:hAnsi="Times New Roman" w:cs="Times New Roman"/>
          <w:sz w:val="24"/>
          <w:szCs w:val="24"/>
        </w:rPr>
        <w:t xml:space="preserve"> response</w:t>
      </w:r>
      <w:r w:rsidRPr="0017277E">
        <w:rPr>
          <w:rFonts w:ascii="Times New Roman" w:hAnsi="Times New Roman" w:cs="Times New Roman"/>
          <w:sz w:val="24"/>
          <w:szCs w:val="24"/>
        </w:rPr>
        <w:t xml:space="preserve"> to this historical issue, nor is one needed.</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 It is worth remembering that Caesar was named dictator multiple times and served as consul four times in the same period. Furthermore, as he stresses (BC 3.2), other magistrates could pass laws on his behalf. Caesar's initial dictatorship, in 49 BC, lasted just a few months </w:t>
      </w:r>
      <w:r w:rsidRPr="0017277E">
        <w:rPr>
          <w:rFonts w:ascii="Times New Roman" w:hAnsi="Times New Roman" w:cs="Times New Roman"/>
          <w:sz w:val="24"/>
          <w:szCs w:val="24"/>
        </w:rPr>
        <w:lastRenderedPageBreak/>
        <w:t>and was primarily administrative, according to his account (BC 3.1–2)</w:t>
      </w:r>
      <w:r>
        <w:rPr>
          <w:rStyle w:val="FootnoteReference"/>
          <w:rFonts w:ascii="Times New Roman" w:hAnsi="Times New Roman" w:cs="Times New Roman"/>
          <w:sz w:val="24"/>
          <w:szCs w:val="24"/>
        </w:rPr>
        <w:footnoteReference w:id="5"/>
      </w:r>
      <w:r w:rsidRPr="0017277E">
        <w:rPr>
          <w:rFonts w:ascii="Times New Roman" w:hAnsi="Times New Roman" w:cs="Times New Roman"/>
          <w:sz w:val="24"/>
          <w:szCs w:val="24"/>
        </w:rPr>
        <w:t xml:space="preserve">. His regime was made permanent </w:t>
      </w:r>
      <w:r>
        <w:rPr>
          <w:rFonts w:ascii="Times New Roman" w:hAnsi="Times New Roman" w:cs="Times New Roman"/>
          <w:sz w:val="24"/>
          <w:szCs w:val="24"/>
        </w:rPr>
        <w:t>first</w:t>
      </w:r>
      <w:r w:rsidRPr="0017277E">
        <w:rPr>
          <w:rFonts w:ascii="Times New Roman" w:hAnsi="Times New Roman" w:cs="Times New Roman"/>
          <w:sz w:val="24"/>
          <w:szCs w:val="24"/>
        </w:rPr>
        <w:t xml:space="preserve"> in 44 BC (before February 15), an apparent miscalculation that, as seen in Chapter 6, is </w:t>
      </w:r>
      <w:r>
        <w:rPr>
          <w:rFonts w:ascii="Times New Roman" w:hAnsi="Times New Roman" w:cs="Times New Roman"/>
          <w:sz w:val="24"/>
          <w:szCs w:val="24"/>
        </w:rPr>
        <w:t>prospective</w:t>
      </w:r>
      <w:r w:rsidRPr="0017277E">
        <w:rPr>
          <w:rFonts w:ascii="Times New Roman" w:hAnsi="Times New Roman" w:cs="Times New Roman"/>
          <w:sz w:val="24"/>
          <w:szCs w:val="24"/>
        </w:rPr>
        <w:t xml:space="preserve"> to have instigated his assassination.</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In chapter six, the most significant </w:t>
      </w:r>
      <w:r>
        <w:rPr>
          <w:rFonts w:ascii="Times New Roman" w:hAnsi="Times New Roman" w:cs="Times New Roman"/>
          <w:sz w:val="24"/>
          <w:szCs w:val="24"/>
        </w:rPr>
        <w:t>elucidation</w:t>
      </w:r>
      <w:r w:rsidRPr="0017277E">
        <w:rPr>
          <w:rFonts w:ascii="Times New Roman" w:hAnsi="Times New Roman" w:cs="Times New Roman"/>
          <w:sz w:val="24"/>
          <w:szCs w:val="24"/>
        </w:rPr>
        <w:t xml:space="preserve"> of Caesar's </w:t>
      </w:r>
      <w:r>
        <w:rPr>
          <w:rFonts w:ascii="Times New Roman" w:hAnsi="Times New Roman" w:cs="Times New Roman"/>
          <w:sz w:val="24"/>
          <w:szCs w:val="24"/>
        </w:rPr>
        <w:t>death</w:t>
      </w:r>
      <w:r w:rsidRPr="0017277E">
        <w:rPr>
          <w:rFonts w:ascii="Times New Roman" w:hAnsi="Times New Roman" w:cs="Times New Roman"/>
          <w:sz w:val="24"/>
          <w:szCs w:val="24"/>
        </w:rPr>
        <w:t>, as well as his re</w:t>
      </w:r>
      <w:r>
        <w:rPr>
          <w:rFonts w:ascii="Times New Roman" w:hAnsi="Times New Roman" w:cs="Times New Roman"/>
          <w:sz w:val="24"/>
          <w:szCs w:val="24"/>
        </w:rPr>
        <w:t>structuring</w:t>
      </w:r>
      <w:r w:rsidRPr="0017277E">
        <w:rPr>
          <w:rFonts w:ascii="Times New Roman" w:hAnsi="Times New Roman" w:cs="Times New Roman"/>
          <w:sz w:val="24"/>
          <w:szCs w:val="24"/>
        </w:rPr>
        <w:t xml:space="preserve">s and schemes, were written </w:t>
      </w:r>
      <w:r>
        <w:rPr>
          <w:rFonts w:ascii="Times New Roman" w:hAnsi="Times New Roman" w:cs="Times New Roman"/>
          <w:sz w:val="24"/>
          <w:szCs w:val="24"/>
        </w:rPr>
        <w:t>not less than</w:t>
      </w:r>
      <w:r w:rsidRPr="0017277E">
        <w:rPr>
          <w:rFonts w:ascii="Times New Roman" w:hAnsi="Times New Roman" w:cs="Times New Roman"/>
          <w:sz w:val="24"/>
          <w:szCs w:val="24"/>
        </w:rPr>
        <w:t xml:space="preserve"> 150 years after the </w:t>
      </w:r>
      <w:r>
        <w:rPr>
          <w:rFonts w:ascii="Times New Roman" w:hAnsi="Times New Roman" w:cs="Times New Roman"/>
          <w:sz w:val="24"/>
          <w:szCs w:val="24"/>
        </w:rPr>
        <w:t>assassination</w:t>
      </w:r>
      <w:r w:rsidRPr="0017277E">
        <w:rPr>
          <w:rFonts w:ascii="Times New Roman" w:hAnsi="Times New Roman" w:cs="Times New Roman"/>
          <w:sz w:val="24"/>
          <w:szCs w:val="24"/>
        </w:rPr>
        <w:t xml:space="preserve"> by people who believed that emperor rule was unavoidable and the </w:t>
      </w:r>
      <w:r>
        <w:rPr>
          <w:rFonts w:ascii="Times New Roman" w:hAnsi="Times New Roman" w:cs="Times New Roman"/>
          <w:sz w:val="24"/>
          <w:szCs w:val="24"/>
        </w:rPr>
        <w:t>greate</w:t>
      </w:r>
      <w:r w:rsidRPr="0017277E">
        <w:rPr>
          <w:rFonts w:ascii="Times New Roman" w:hAnsi="Times New Roman" w:cs="Times New Roman"/>
          <w:sz w:val="24"/>
          <w:szCs w:val="24"/>
        </w:rPr>
        <w:t xml:space="preserve">st system of government, with the murdered tyrant serving as the hero-founder of that </w:t>
      </w:r>
      <w:r>
        <w:rPr>
          <w:rFonts w:ascii="Times New Roman" w:hAnsi="Times New Roman" w:cs="Times New Roman"/>
          <w:sz w:val="24"/>
          <w:szCs w:val="24"/>
        </w:rPr>
        <w:t>type</w:t>
      </w:r>
      <w:r w:rsidRPr="0017277E">
        <w:rPr>
          <w:rFonts w:ascii="Times New Roman" w:hAnsi="Times New Roman" w:cs="Times New Roman"/>
          <w:sz w:val="24"/>
          <w:szCs w:val="24"/>
        </w:rPr>
        <w:t xml:space="preserve"> of government</w:t>
      </w:r>
      <w:r>
        <w:rPr>
          <w:rStyle w:val="FootnoteReference"/>
          <w:rFonts w:ascii="Times New Roman" w:hAnsi="Times New Roman" w:cs="Times New Roman"/>
          <w:sz w:val="24"/>
          <w:szCs w:val="24"/>
        </w:rPr>
        <w:footnoteReference w:id="6"/>
      </w:r>
      <w:r w:rsidRPr="0017277E">
        <w:rPr>
          <w:rFonts w:ascii="Times New Roman" w:hAnsi="Times New Roman" w:cs="Times New Roman"/>
          <w:sz w:val="24"/>
          <w:szCs w:val="24"/>
        </w:rPr>
        <w:t xml:space="preserve">. Concerns that his </w:t>
      </w:r>
      <w:r>
        <w:rPr>
          <w:rFonts w:ascii="Times New Roman" w:hAnsi="Times New Roman" w:cs="Times New Roman"/>
          <w:sz w:val="24"/>
          <w:szCs w:val="24"/>
        </w:rPr>
        <w:t xml:space="preserve">voyage to the east </w:t>
      </w:r>
      <w:r w:rsidRPr="0017277E">
        <w:rPr>
          <w:rFonts w:ascii="Times New Roman" w:hAnsi="Times New Roman" w:cs="Times New Roman"/>
          <w:sz w:val="24"/>
          <w:szCs w:val="24"/>
        </w:rPr>
        <w:t>would lead to the repositioning of</w:t>
      </w:r>
      <w:r>
        <w:rPr>
          <w:rFonts w:ascii="Times New Roman" w:hAnsi="Times New Roman" w:cs="Times New Roman"/>
          <w:sz w:val="24"/>
          <w:szCs w:val="24"/>
        </w:rPr>
        <w:t xml:space="preserve"> the</w:t>
      </w:r>
      <w:r w:rsidRPr="0017277E">
        <w:rPr>
          <w:rFonts w:ascii="Times New Roman" w:hAnsi="Times New Roman" w:cs="Times New Roman"/>
          <w:sz w:val="24"/>
          <w:szCs w:val="24"/>
        </w:rPr>
        <w:t xml:space="preserve"> capital to the east, his lavish tributes, his election fraud, his inability to rise to </w:t>
      </w:r>
      <w:r>
        <w:rPr>
          <w:rFonts w:ascii="Times New Roman" w:hAnsi="Times New Roman" w:cs="Times New Roman"/>
          <w:sz w:val="24"/>
          <w:szCs w:val="24"/>
        </w:rPr>
        <w:t>greet</w:t>
      </w:r>
      <w:r w:rsidRPr="0017277E">
        <w:rPr>
          <w:rFonts w:ascii="Times New Roman" w:hAnsi="Times New Roman" w:cs="Times New Roman"/>
          <w:sz w:val="24"/>
          <w:szCs w:val="24"/>
        </w:rPr>
        <w:t xml:space="preserve"> a delegation of </w:t>
      </w:r>
      <w:r>
        <w:rPr>
          <w:rFonts w:ascii="Times New Roman" w:hAnsi="Times New Roman" w:cs="Times New Roman"/>
          <w:sz w:val="24"/>
          <w:szCs w:val="24"/>
        </w:rPr>
        <w:t>politicians</w:t>
      </w:r>
      <w:r w:rsidRPr="0017277E">
        <w:rPr>
          <w:rFonts w:ascii="Times New Roman" w:hAnsi="Times New Roman" w:cs="Times New Roman"/>
          <w:sz w:val="24"/>
          <w:szCs w:val="24"/>
        </w:rPr>
        <w:t xml:space="preserve">, his dismissal of the tribunes who incarcerated the </w:t>
      </w:r>
      <w:r>
        <w:rPr>
          <w:rFonts w:ascii="Times New Roman" w:hAnsi="Times New Roman" w:cs="Times New Roman"/>
          <w:sz w:val="24"/>
          <w:szCs w:val="24"/>
        </w:rPr>
        <w:t>individual</w:t>
      </w:r>
      <w:r w:rsidRPr="0017277E">
        <w:rPr>
          <w:rFonts w:ascii="Times New Roman" w:hAnsi="Times New Roman" w:cs="Times New Roman"/>
          <w:sz w:val="24"/>
          <w:szCs w:val="24"/>
        </w:rPr>
        <w:t xml:space="preserve"> who </w:t>
      </w:r>
      <w:r>
        <w:rPr>
          <w:rFonts w:ascii="Times New Roman" w:hAnsi="Times New Roman" w:cs="Times New Roman"/>
          <w:sz w:val="24"/>
          <w:szCs w:val="24"/>
        </w:rPr>
        <w:t>topped</w:t>
      </w:r>
      <w:r w:rsidRPr="0017277E">
        <w:rPr>
          <w:rFonts w:ascii="Times New Roman" w:hAnsi="Times New Roman" w:cs="Times New Roman"/>
          <w:sz w:val="24"/>
          <w:szCs w:val="24"/>
        </w:rPr>
        <w:t xml:space="preserve"> his sculpture with a diadem, and the event of the </w:t>
      </w:r>
      <w:r>
        <w:rPr>
          <w:rFonts w:ascii="Times New Roman" w:hAnsi="Times New Roman" w:cs="Times New Roman"/>
          <w:sz w:val="24"/>
          <w:szCs w:val="24"/>
        </w:rPr>
        <w:t>wreath</w:t>
      </w:r>
      <w:r w:rsidRPr="0017277E">
        <w:rPr>
          <w:rFonts w:ascii="Times New Roman" w:hAnsi="Times New Roman" w:cs="Times New Roman"/>
          <w:sz w:val="24"/>
          <w:szCs w:val="24"/>
        </w:rPr>
        <w:t xml:space="preserve"> presented by Marcius were among the causative factors of the conspiracy according to Lintott</w:t>
      </w:r>
      <w:r>
        <w:rPr>
          <w:rStyle w:val="FootnoteReference"/>
          <w:rFonts w:ascii="Times New Roman" w:hAnsi="Times New Roman" w:cs="Times New Roman"/>
          <w:sz w:val="24"/>
          <w:szCs w:val="24"/>
        </w:rPr>
        <w:footnoteReference w:id="7"/>
      </w:r>
      <w:r w:rsidRPr="0017277E">
        <w:rPr>
          <w:rFonts w:ascii="Times New Roman" w:hAnsi="Times New Roman" w:cs="Times New Roman"/>
          <w:sz w:val="24"/>
          <w:szCs w:val="24"/>
        </w:rPr>
        <w:t>. As a result, the tale is about an arrogant claim of superiority that leads to the tragic collapse of a great person.</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As Lintott writes, the interpretation of causation is Thucydidean in a few lines. Some established the scheme in the </w:t>
      </w:r>
      <w:r>
        <w:rPr>
          <w:rFonts w:ascii="Times New Roman" w:hAnsi="Times New Roman" w:cs="Times New Roman"/>
          <w:sz w:val="24"/>
          <w:szCs w:val="24"/>
        </w:rPr>
        <w:t>anticipation</w:t>
      </w:r>
      <w:r w:rsidRPr="0017277E">
        <w:rPr>
          <w:rFonts w:ascii="Times New Roman" w:hAnsi="Times New Roman" w:cs="Times New Roman"/>
          <w:sz w:val="24"/>
          <w:szCs w:val="24"/>
        </w:rPr>
        <w:t xml:space="preserve"> that if they got Caesar out of the way, they might take his place as the leader; others were enraged by what they had </w:t>
      </w:r>
      <w:r>
        <w:rPr>
          <w:rFonts w:ascii="Times New Roman" w:hAnsi="Times New Roman" w:cs="Times New Roman"/>
          <w:sz w:val="24"/>
          <w:szCs w:val="24"/>
        </w:rPr>
        <w:t>endured</w:t>
      </w:r>
      <w:r w:rsidRPr="0017277E">
        <w:rPr>
          <w:rFonts w:ascii="Times New Roman" w:hAnsi="Times New Roman" w:cs="Times New Roman"/>
          <w:sz w:val="24"/>
          <w:szCs w:val="24"/>
        </w:rPr>
        <w:t xml:space="preserve"> in the war, whether it was the </w:t>
      </w:r>
      <w:r>
        <w:rPr>
          <w:rFonts w:ascii="Times New Roman" w:hAnsi="Times New Roman" w:cs="Times New Roman"/>
          <w:sz w:val="24"/>
          <w:szCs w:val="24"/>
        </w:rPr>
        <w:t>passing</w:t>
      </w:r>
      <w:r w:rsidRPr="0017277E">
        <w:rPr>
          <w:rFonts w:ascii="Times New Roman" w:hAnsi="Times New Roman" w:cs="Times New Roman"/>
          <w:sz w:val="24"/>
          <w:szCs w:val="24"/>
        </w:rPr>
        <w:t xml:space="preserve"> of their brethren or the loss of money or public </w:t>
      </w:r>
      <w:r>
        <w:rPr>
          <w:rFonts w:ascii="Times New Roman" w:hAnsi="Times New Roman" w:cs="Times New Roman"/>
          <w:sz w:val="24"/>
          <w:szCs w:val="24"/>
        </w:rPr>
        <w:t>headquarters</w:t>
      </w:r>
      <w:r w:rsidRPr="0017277E">
        <w:rPr>
          <w:rFonts w:ascii="Times New Roman" w:hAnsi="Times New Roman" w:cs="Times New Roman"/>
          <w:sz w:val="24"/>
          <w:szCs w:val="24"/>
        </w:rPr>
        <w:t xml:space="preserve">, and to hide their outrage, they claimed as a specious </w:t>
      </w:r>
      <w:r>
        <w:rPr>
          <w:rFonts w:ascii="Times New Roman" w:hAnsi="Times New Roman" w:cs="Times New Roman"/>
          <w:sz w:val="24"/>
          <w:szCs w:val="24"/>
        </w:rPr>
        <w:t>cause</w:t>
      </w:r>
      <w:r w:rsidRPr="0017277E">
        <w:rPr>
          <w:rFonts w:ascii="Times New Roman" w:hAnsi="Times New Roman" w:cs="Times New Roman"/>
          <w:sz w:val="24"/>
          <w:szCs w:val="24"/>
        </w:rPr>
        <w:t xml:space="preserve"> that they despised Caesar</w:t>
      </w:r>
      <w:r>
        <w:rPr>
          <w:rStyle w:val="FootnoteReference"/>
          <w:rFonts w:ascii="Times New Roman" w:hAnsi="Times New Roman" w:cs="Times New Roman"/>
          <w:sz w:val="24"/>
          <w:szCs w:val="24"/>
        </w:rPr>
        <w:footnoteReference w:id="8"/>
      </w:r>
      <w:r w:rsidRPr="0017277E">
        <w:rPr>
          <w:rFonts w:ascii="Times New Roman" w:hAnsi="Times New Roman" w:cs="Times New Roman"/>
          <w:sz w:val="24"/>
          <w:szCs w:val="24"/>
        </w:rPr>
        <w:t xml:space="preserve">. The triggers of the assassination, on the other hand, can be tracked far beyond his final months. Despite the </w:t>
      </w:r>
      <w:r w:rsidRPr="0017277E">
        <w:rPr>
          <w:rFonts w:ascii="Times New Roman" w:hAnsi="Times New Roman" w:cs="Times New Roman"/>
          <w:sz w:val="24"/>
          <w:szCs w:val="24"/>
        </w:rPr>
        <w:lastRenderedPageBreak/>
        <w:t xml:space="preserve">accomplishments of the founding fathers, the practice of </w:t>
      </w:r>
      <w:r>
        <w:rPr>
          <w:rFonts w:ascii="Times New Roman" w:hAnsi="Times New Roman" w:cs="Times New Roman"/>
          <w:sz w:val="24"/>
          <w:szCs w:val="24"/>
        </w:rPr>
        <w:t>empire</w:t>
      </w:r>
      <w:r w:rsidRPr="0017277E">
        <w:rPr>
          <w:rFonts w:ascii="Times New Roman" w:hAnsi="Times New Roman" w:cs="Times New Roman"/>
          <w:sz w:val="24"/>
          <w:szCs w:val="24"/>
        </w:rPr>
        <w:t xml:space="preserve"> was deemed unsustainable by Tarquin the Proud's acts, according to Roman tradition</w:t>
      </w:r>
      <w:r>
        <w:rPr>
          <w:rStyle w:val="FootnoteReference"/>
          <w:rFonts w:ascii="Times New Roman" w:hAnsi="Times New Roman" w:cs="Times New Roman"/>
          <w:sz w:val="24"/>
          <w:szCs w:val="24"/>
        </w:rPr>
        <w:footnoteReference w:id="9"/>
      </w:r>
      <w:r w:rsidRPr="0017277E">
        <w:rPr>
          <w:rFonts w:ascii="Times New Roman" w:hAnsi="Times New Roman" w:cs="Times New Roman"/>
          <w:sz w:val="24"/>
          <w:szCs w:val="24"/>
        </w:rPr>
        <w:t>.</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A series of dramatic events lead up to Caesar's assassination, all of which highlight Caesar's arrogance and determination</w:t>
      </w:r>
      <w:r>
        <w:rPr>
          <w:rStyle w:val="FootnoteReference"/>
          <w:rFonts w:ascii="Times New Roman" w:hAnsi="Times New Roman" w:cs="Times New Roman"/>
          <w:sz w:val="24"/>
          <w:szCs w:val="24"/>
        </w:rPr>
        <w:footnoteReference w:id="10"/>
      </w:r>
      <w:r w:rsidRPr="0017277E">
        <w:rPr>
          <w:rFonts w:ascii="Times New Roman" w:hAnsi="Times New Roman" w:cs="Times New Roman"/>
          <w:sz w:val="24"/>
          <w:szCs w:val="24"/>
        </w:rPr>
        <w:t xml:space="preserve">. He refused to rise to welcome a senate deputation when supervising the building of his forum. Even though tribunes were sacrosanct, when two, </w:t>
      </w:r>
      <w:r>
        <w:rPr>
          <w:rFonts w:ascii="Times New Roman" w:hAnsi="Times New Roman" w:cs="Times New Roman"/>
          <w:sz w:val="24"/>
          <w:szCs w:val="24"/>
        </w:rPr>
        <w:t xml:space="preserve">Marullus and </w:t>
      </w:r>
      <w:r w:rsidRPr="0017277E">
        <w:rPr>
          <w:rFonts w:ascii="Times New Roman" w:hAnsi="Times New Roman" w:cs="Times New Roman"/>
          <w:sz w:val="24"/>
          <w:szCs w:val="24"/>
        </w:rPr>
        <w:t>Caesetius lifted a diadem from his s</w:t>
      </w:r>
      <w:r>
        <w:rPr>
          <w:rFonts w:ascii="Times New Roman" w:hAnsi="Times New Roman" w:cs="Times New Roman"/>
          <w:sz w:val="24"/>
          <w:szCs w:val="24"/>
        </w:rPr>
        <w:t>culptur</w:t>
      </w:r>
      <w:r w:rsidRPr="0017277E">
        <w:rPr>
          <w:rFonts w:ascii="Times New Roman" w:hAnsi="Times New Roman" w:cs="Times New Roman"/>
          <w:sz w:val="24"/>
          <w:szCs w:val="24"/>
        </w:rPr>
        <w:t>e and incarcerated the man who had p</w:t>
      </w:r>
      <w:r>
        <w:rPr>
          <w:rFonts w:ascii="Times New Roman" w:hAnsi="Times New Roman" w:cs="Times New Roman"/>
          <w:sz w:val="24"/>
          <w:szCs w:val="24"/>
        </w:rPr>
        <w:t>laced</w:t>
      </w:r>
      <w:r w:rsidRPr="0017277E">
        <w:rPr>
          <w:rFonts w:ascii="Times New Roman" w:hAnsi="Times New Roman" w:cs="Times New Roman"/>
          <w:sz w:val="24"/>
          <w:szCs w:val="24"/>
        </w:rPr>
        <w:t xml:space="preserve"> it there, he regarded it as an </w:t>
      </w:r>
      <w:r>
        <w:rPr>
          <w:rFonts w:ascii="Times New Roman" w:hAnsi="Times New Roman" w:cs="Times New Roman"/>
          <w:sz w:val="24"/>
          <w:szCs w:val="24"/>
        </w:rPr>
        <w:t>occurrence</w:t>
      </w:r>
      <w:r w:rsidRPr="0017277E">
        <w:rPr>
          <w:rFonts w:ascii="Times New Roman" w:hAnsi="Times New Roman" w:cs="Times New Roman"/>
          <w:sz w:val="24"/>
          <w:szCs w:val="24"/>
        </w:rPr>
        <w:t xml:space="preserve"> fabricated them to make him look a </w:t>
      </w:r>
      <w:r>
        <w:rPr>
          <w:rFonts w:ascii="Times New Roman" w:hAnsi="Times New Roman" w:cs="Times New Roman"/>
          <w:sz w:val="24"/>
          <w:szCs w:val="24"/>
        </w:rPr>
        <w:t>dictator</w:t>
      </w:r>
      <w:r w:rsidRPr="0017277E">
        <w:rPr>
          <w:rFonts w:ascii="Times New Roman" w:hAnsi="Times New Roman" w:cs="Times New Roman"/>
          <w:sz w:val="24"/>
          <w:szCs w:val="24"/>
        </w:rPr>
        <w:t xml:space="preserve"> and expelled them from office</w:t>
      </w:r>
      <w:r>
        <w:rPr>
          <w:rStyle w:val="FootnoteReference"/>
          <w:rFonts w:ascii="Times New Roman" w:hAnsi="Times New Roman" w:cs="Times New Roman"/>
          <w:sz w:val="24"/>
          <w:szCs w:val="24"/>
        </w:rPr>
        <w:footnoteReference w:id="11"/>
      </w:r>
      <w:r w:rsidRPr="0017277E">
        <w:rPr>
          <w:rFonts w:ascii="Times New Roman" w:hAnsi="Times New Roman" w:cs="Times New Roman"/>
          <w:sz w:val="24"/>
          <w:szCs w:val="24"/>
        </w:rPr>
        <w:t>.</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The scheme was orchestrated through a series of </w:t>
      </w:r>
      <w:r>
        <w:rPr>
          <w:rFonts w:ascii="Times New Roman" w:hAnsi="Times New Roman" w:cs="Times New Roman"/>
          <w:sz w:val="24"/>
          <w:szCs w:val="24"/>
        </w:rPr>
        <w:t>moderate</w:t>
      </w:r>
      <w:r w:rsidRPr="0017277E">
        <w:rPr>
          <w:rFonts w:ascii="Times New Roman" w:hAnsi="Times New Roman" w:cs="Times New Roman"/>
          <w:sz w:val="24"/>
          <w:szCs w:val="24"/>
        </w:rPr>
        <w:t xml:space="preserve"> meetings in private homes, with the conspirators never getting together as a group. The exact time and location of the assassination had to be determined on the spur of the moment</w:t>
      </w:r>
      <w:r>
        <w:rPr>
          <w:rStyle w:val="FootnoteReference"/>
          <w:rFonts w:ascii="Times New Roman" w:hAnsi="Times New Roman" w:cs="Times New Roman"/>
          <w:sz w:val="24"/>
          <w:szCs w:val="24"/>
        </w:rPr>
        <w:footnoteReference w:id="12"/>
      </w:r>
      <w:r w:rsidRPr="0017277E">
        <w:rPr>
          <w:rFonts w:ascii="Times New Roman" w:hAnsi="Times New Roman" w:cs="Times New Roman"/>
          <w:sz w:val="24"/>
          <w:szCs w:val="24"/>
        </w:rPr>
        <w:t>. Lintott specifies the selection of the Senate to carry out the assassination whereby according to Dio, Caesar would be isolated from imminent support, the senators would hardly defend him due to being unarmed and that Caesar would not be absent for the Senate</w:t>
      </w:r>
      <w:r>
        <w:rPr>
          <w:rStyle w:val="FootnoteReference"/>
          <w:rFonts w:ascii="Times New Roman" w:hAnsi="Times New Roman" w:cs="Times New Roman"/>
          <w:sz w:val="24"/>
          <w:szCs w:val="24"/>
        </w:rPr>
        <w:footnoteReference w:id="13"/>
      </w:r>
      <w:r w:rsidRPr="0017277E">
        <w:rPr>
          <w:rFonts w:ascii="Times New Roman" w:hAnsi="Times New Roman" w:cs="Times New Roman"/>
          <w:sz w:val="24"/>
          <w:szCs w:val="24"/>
        </w:rPr>
        <w:t xml:space="preserve">. Weapons to attack Caesar would be brought in the chambers in boxes that would often carry writing tables. The planned assassination was a clumsy and wasteful operation, with only the second wound in the </w:t>
      </w:r>
      <w:r>
        <w:rPr>
          <w:rFonts w:ascii="Times New Roman" w:hAnsi="Times New Roman" w:cs="Times New Roman"/>
          <w:sz w:val="24"/>
          <w:szCs w:val="24"/>
        </w:rPr>
        <w:t>chest</w:t>
      </w:r>
      <w:r w:rsidRPr="0017277E">
        <w:rPr>
          <w:rFonts w:ascii="Times New Roman" w:hAnsi="Times New Roman" w:cs="Times New Roman"/>
          <w:sz w:val="24"/>
          <w:szCs w:val="24"/>
        </w:rPr>
        <w:t xml:space="preserve"> proving lethal, with Caesar not suspecting anything till the last moment, according to a physician</w:t>
      </w:r>
      <w:r>
        <w:rPr>
          <w:rStyle w:val="FootnoteReference"/>
          <w:rFonts w:ascii="Times New Roman" w:hAnsi="Times New Roman" w:cs="Times New Roman"/>
          <w:sz w:val="24"/>
          <w:szCs w:val="24"/>
        </w:rPr>
        <w:footnoteReference w:id="14"/>
      </w:r>
      <w:r w:rsidRPr="0017277E">
        <w:rPr>
          <w:rFonts w:ascii="Times New Roman" w:hAnsi="Times New Roman" w:cs="Times New Roman"/>
          <w:sz w:val="24"/>
          <w:szCs w:val="24"/>
        </w:rPr>
        <w:t>.</w:t>
      </w:r>
    </w:p>
    <w:p w:rsidR="00D15AA4" w:rsidRPr="0017277E" w:rsidRDefault="00D15AA4" w:rsidP="00D15AA4">
      <w:pPr>
        <w:spacing w:line="480" w:lineRule="auto"/>
        <w:ind w:firstLine="720"/>
        <w:jc w:val="both"/>
        <w:rPr>
          <w:rFonts w:ascii="Times New Roman" w:hAnsi="Times New Roman" w:cs="Times New Roman"/>
          <w:sz w:val="24"/>
          <w:szCs w:val="24"/>
        </w:rPr>
      </w:pP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lastRenderedPageBreak/>
        <w:t>From the two chapters, The Dictator and The Assassination, the writers give in-depth accounts of Caesar's rule up to his death. The author describes Dictators' mandates as sometimes vague in the dictator; the certified definition was rei gerundae causa (roughly "to take appropriate action")</w:t>
      </w:r>
      <w:r>
        <w:rPr>
          <w:rStyle w:val="FootnoteReference"/>
          <w:rFonts w:ascii="Times New Roman" w:hAnsi="Times New Roman" w:cs="Times New Roman"/>
          <w:sz w:val="24"/>
          <w:szCs w:val="24"/>
        </w:rPr>
        <w:footnoteReference w:id="15"/>
      </w:r>
      <w:r w:rsidRPr="0017277E">
        <w:rPr>
          <w:rFonts w:ascii="Times New Roman" w:hAnsi="Times New Roman" w:cs="Times New Roman"/>
          <w:sz w:val="24"/>
          <w:szCs w:val="24"/>
        </w:rPr>
        <w:t xml:space="preserve">. At the same time, arrangements had often been made for specific managerial duties, such as </w:t>
      </w:r>
      <w:r w:rsidR="00444A2B" w:rsidRPr="0017277E">
        <w:rPr>
          <w:rFonts w:ascii="Times New Roman" w:hAnsi="Times New Roman" w:cs="Times New Roman"/>
          <w:sz w:val="24"/>
          <w:szCs w:val="24"/>
        </w:rPr>
        <w:t>conducting organizing</w:t>
      </w:r>
      <w:r w:rsidRPr="0017277E">
        <w:rPr>
          <w:rFonts w:ascii="Times New Roman" w:hAnsi="Times New Roman" w:cs="Times New Roman"/>
          <w:sz w:val="24"/>
          <w:szCs w:val="24"/>
        </w:rPr>
        <w:t xml:space="preserve"> the Latin Festival</w:t>
      </w:r>
      <w:r>
        <w:rPr>
          <w:rFonts w:ascii="Times New Roman" w:hAnsi="Times New Roman" w:cs="Times New Roman"/>
          <w:sz w:val="24"/>
          <w:szCs w:val="24"/>
        </w:rPr>
        <w:t xml:space="preserve"> and</w:t>
      </w:r>
      <w:r w:rsidRPr="0017277E">
        <w:rPr>
          <w:rFonts w:ascii="Times New Roman" w:hAnsi="Times New Roman" w:cs="Times New Roman"/>
          <w:sz w:val="24"/>
          <w:szCs w:val="24"/>
        </w:rPr>
        <w:t xml:space="preserve"> elections. The dictatorship was a general term that could cover both military command and civil responsibilities in particular. The accounts of Caesar as a dictator builds up to the second chapter, The Assassination, by depicting Caesar's arrogance; the image that arises from the years is one of hurry and improvisation in periods of trouble, rather than the implementation of a long-planned strategy, and his lack of a definitive plan for the future of his government in Rome</w:t>
      </w:r>
      <w:r>
        <w:rPr>
          <w:rStyle w:val="FootnoteReference"/>
          <w:rFonts w:ascii="Times New Roman" w:hAnsi="Times New Roman" w:cs="Times New Roman"/>
          <w:sz w:val="24"/>
          <w:szCs w:val="24"/>
        </w:rPr>
        <w:footnoteReference w:id="16"/>
      </w:r>
      <w:r w:rsidRPr="0017277E">
        <w:rPr>
          <w:rFonts w:ascii="Times New Roman" w:hAnsi="Times New Roman" w:cs="Times New Roman"/>
          <w:sz w:val="24"/>
          <w:szCs w:val="24"/>
        </w:rPr>
        <w:t xml:space="preserve">. </w:t>
      </w:r>
    </w:p>
    <w:p w:rsidR="00D15AA4" w:rsidRPr="0017277E"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The two authors agree that Caesar, though unknowingly, spiked his assassination with his actions. His prolonged dictatorship period and the apparent miscalculations presented in The Assassination fueled his death at the Senate. The authors also concur that his way of ruling was to some extent found unacceptable by the Romans themselves and the leaders he placed in his government, causing them to have secret intentions to take him down. The Romans also felt that the monarch had become unsustainable as Caesar went from becoming emperor for the fourth time to a dictator in eternity in the first weeks. It was clear that he had no intention of resigning from his leading role.</w:t>
      </w:r>
    </w:p>
    <w:p w:rsidR="00D15AA4" w:rsidRDefault="00D15AA4" w:rsidP="00D15AA4">
      <w:pPr>
        <w:spacing w:line="480" w:lineRule="auto"/>
        <w:ind w:firstLine="720"/>
        <w:jc w:val="both"/>
        <w:rPr>
          <w:rFonts w:ascii="Times New Roman" w:hAnsi="Times New Roman" w:cs="Times New Roman"/>
          <w:sz w:val="24"/>
          <w:szCs w:val="24"/>
        </w:rPr>
      </w:pPr>
      <w:r w:rsidRPr="0017277E">
        <w:rPr>
          <w:rFonts w:ascii="Times New Roman" w:hAnsi="Times New Roman" w:cs="Times New Roman"/>
          <w:sz w:val="24"/>
          <w:szCs w:val="24"/>
        </w:rPr>
        <w:t xml:space="preserve">There is, however, no indication of an agreement between the two authors on whether Julius Caesar was a hero or a villain in the Roman empire. </w:t>
      </w:r>
      <w:r>
        <w:rPr>
          <w:rFonts w:ascii="Times New Roman" w:hAnsi="Times New Roman" w:cs="Times New Roman"/>
          <w:sz w:val="24"/>
          <w:szCs w:val="24"/>
        </w:rPr>
        <w:t>Gardener</w:t>
      </w:r>
      <w:r w:rsidRPr="0017277E">
        <w:rPr>
          <w:rFonts w:ascii="Times New Roman" w:hAnsi="Times New Roman" w:cs="Times New Roman"/>
          <w:sz w:val="24"/>
          <w:szCs w:val="24"/>
        </w:rPr>
        <w:t xml:space="preserve"> gives an account of Caesar as a dictator where he had his victories; however, he still made several bad choices that led to his </w:t>
      </w:r>
      <w:r w:rsidRPr="0017277E">
        <w:rPr>
          <w:rFonts w:ascii="Times New Roman" w:hAnsi="Times New Roman" w:cs="Times New Roman"/>
          <w:sz w:val="24"/>
          <w:szCs w:val="24"/>
        </w:rPr>
        <w:lastRenderedPageBreak/>
        <w:t>assassination, while Lintott gives narratives about the assassination, the circumstances leading up to it, and the days after Caesar's death.</w:t>
      </w:r>
    </w:p>
    <w:p w:rsidR="00D15AA4" w:rsidRDefault="00D15AA4" w:rsidP="00D15AA4">
      <w:pPr>
        <w:rPr>
          <w:rFonts w:ascii="Times New Roman" w:hAnsi="Times New Roman" w:cs="Times New Roman"/>
          <w:sz w:val="24"/>
          <w:szCs w:val="24"/>
        </w:rPr>
      </w:pPr>
      <w:r>
        <w:rPr>
          <w:rFonts w:ascii="Times New Roman" w:hAnsi="Times New Roman" w:cs="Times New Roman"/>
          <w:sz w:val="24"/>
          <w:szCs w:val="24"/>
        </w:rPr>
        <w:br w:type="page"/>
      </w:r>
    </w:p>
    <w:p w:rsidR="00D15AA4" w:rsidRDefault="00D15AA4" w:rsidP="00D15AA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D15AA4" w:rsidRDefault="00D15AA4" w:rsidP="00D15AA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Gardner, J.F. ‘The Dictator’, in M. Griffin (ed), </w:t>
      </w:r>
      <w:r w:rsidRPr="00701F8B">
        <w:rPr>
          <w:rFonts w:ascii="Times New Roman" w:hAnsi="Times New Roman" w:cs="Times New Roman"/>
          <w:i/>
          <w:iCs/>
          <w:sz w:val="24"/>
          <w:szCs w:val="24"/>
        </w:rPr>
        <w:t>A Companion to Julius Caesar</w:t>
      </w:r>
      <w:r>
        <w:rPr>
          <w:rFonts w:ascii="Times New Roman" w:hAnsi="Times New Roman" w:cs="Times New Roman"/>
          <w:sz w:val="24"/>
          <w:szCs w:val="24"/>
        </w:rPr>
        <w:t>,  Oxford: Blackwell, 2009: 57-71.</w:t>
      </w:r>
    </w:p>
    <w:p w:rsidR="00D15AA4" w:rsidRDefault="00D15AA4" w:rsidP="00D15AA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Lintott, A. ‘The Assassination’, in M. Griffin (ed), </w:t>
      </w:r>
      <w:r w:rsidRPr="00701F8B">
        <w:rPr>
          <w:rFonts w:ascii="Times New Roman" w:hAnsi="Times New Roman" w:cs="Times New Roman"/>
          <w:i/>
          <w:iCs/>
          <w:sz w:val="24"/>
          <w:szCs w:val="24"/>
        </w:rPr>
        <w:t>A Companion to Julius Caesar</w:t>
      </w:r>
      <w:r>
        <w:rPr>
          <w:rFonts w:ascii="Times New Roman" w:hAnsi="Times New Roman" w:cs="Times New Roman"/>
          <w:sz w:val="24"/>
          <w:szCs w:val="24"/>
        </w:rPr>
        <w:t>,  Oxford: Blackwell, 2009: 72-82.</w:t>
      </w:r>
    </w:p>
    <w:p w:rsidR="00D15AA4" w:rsidRDefault="00D15AA4" w:rsidP="00D15AA4">
      <w:pPr>
        <w:spacing w:line="480" w:lineRule="auto"/>
        <w:ind w:left="720" w:hanging="720"/>
        <w:jc w:val="both"/>
        <w:rPr>
          <w:rFonts w:ascii="Times New Roman" w:hAnsi="Times New Roman" w:cs="Times New Roman"/>
          <w:sz w:val="24"/>
          <w:szCs w:val="24"/>
        </w:rPr>
      </w:pPr>
    </w:p>
    <w:p w:rsidR="00D15AA4" w:rsidRPr="0017277E" w:rsidRDefault="00D15AA4" w:rsidP="00D15AA4">
      <w:pPr>
        <w:spacing w:line="480" w:lineRule="auto"/>
        <w:ind w:firstLine="720"/>
        <w:jc w:val="center"/>
        <w:rPr>
          <w:rFonts w:ascii="Times New Roman" w:hAnsi="Times New Roman" w:cs="Times New Roman"/>
          <w:sz w:val="24"/>
          <w:szCs w:val="24"/>
        </w:rPr>
      </w:pPr>
    </w:p>
    <w:p w:rsidR="00D15AA4" w:rsidRDefault="00D15AA4" w:rsidP="00D15AA4"/>
    <w:p w:rsidR="00D15AA4" w:rsidRDefault="00D15AA4" w:rsidP="00D15AA4"/>
    <w:p w:rsidR="00D15AA4" w:rsidRDefault="00D15AA4" w:rsidP="00D15AA4"/>
    <w:p w:rsidR="00D15AA4" w:rsidRDefault="00D15AA4"/>
    <w:sectPr w:rsidR="00D15AA4" w:rsidSect="00230D5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00C" w:rsidRDefault="00D9200C" w:rsidP="00D15AA4">
      <w:pPr>
        <w:spacing w:after="0" w:line="240" w:lineRule="auto"/>
      </w:pPr>
      <w:r>
        <w:separator/>
      </w:r>
    </w:p>
  </w:endnote>
  <w:endnote w:type="continuationSeparator" w:id="1">
    <w:p w:rsidR="00D9200C" w:rsidRDefault="00D9200C" w:rsidP="00D15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00C" w:rsidRDefault="00D9200C" w:rsidP="00D15AA4">
      <w:pPr>
        <w:spacing w:after="0" w:line="240" w:lineRule="auto"/>
      </w:pPr>
      <w:r>
        <w:separator/>
      </w:r>
    </w:p>
  </w:footnote>
  <w:footnote w:type="continuationSeparator" w:id="1">
    <w:p w:rsidR="00D9200C" w:rsidRDefault="00D9200C" w:rsidP="00D15AA4">
      <w:pPr>
        <w:spacing w:after="0" w:line="240" w:lineRule="auto"/>
      </w:pPr>
      <w:r>
        <w:continuationSeparator/>
      </w:r>
    </w:p>
  </w:footnote>
  <w:footnote w:id="2">
    <w:p w:rsidR="00D15AA4" w:rsidRPr="00290395" w:rsidRDefault="00D15AA4" w:rsidP="00D15AA4">
      <w:pPr>
        <w:pStyle w:val="FootnoteText"/>
      </w:pPr>
      <w:r>
        <w:rPr>
          <w:rStyle w:val="FootnoteReference"/>
        </w:rPr>
        <w:footnoteRef/>
      </w:r>
      <w:r>
        <w:t xml:space="preserve"> Gardner, </w:t>
      </w:r>
      <w:r w:rsidRPr="00290395">
        <w:rPr>
          <w:i/>
          <w:iCs/>
        </w:rPr>
        <w:t>The Dictator</w:t>
      </w:r>
      <w:r>
        <w:t xml:space="preserve">, in M. Griffin (ed), </w:t>
      </w:r>
      <w:r w:rsidRPr="004B3EE7">
        <w:rPr>
          <w:i/>
          <w:iCs/>
        </w:rPr>
        <w:t>A Companion to Julius Caesar</w:t>
      </w:r>
      <w:r>
        <w:t>(Oxford: Blackwell, 2009), 57</w:t>
      </w:r>
    </w:p>
  </w:footnote>
  <w:footnote w:id="3">
    <w:p w:rsidR="00D15AA4" w:rsidRDefault="00D15AA4" w:rsidP="00D15AA4">
      <w:pPr>
        <w:pStyle w:val="FootnoteText"/>
      </w:pPr>
      <w:r>
        <w:rPr>
          <w:rStyle w:val="FootnoteReference"/>
        </w:rPr>
        <w:footnoteRef/>
      </w:r>
      <w:r>
        <w:t xml:space="preserve"> Gardner, 57</w:t>
      </w:r>
    </w:p>
  </w:footnote>
  <w:footnote w:id="4">
    <w:p w:rsidR="00D15AA4" w:rsidRDefault="00D15AA4" w:rsidP="00D15AA4">
      <w:pPr>
        <w:pStyle w:val="FootnoteText"/>
      </w:pPr>
      <w:r>
        <w:rPr>
          <w:rStyle w:val="FootnoteReference"/>
        </w:rPr>
        <w:footnoteRef/>
      </w:r>
      <w:r>
        <w:t xml:space="preserve"> Gardner, “What is Dictatorship,” 58</w:t>
      </w:r>
    </w:p>
  </w:footnote>
  <w:footnote w:id="5">
    <w:p w:rsidR="00D15AA4" w:rsidRDefault="00D15AA4" w:rsidP="00D15AA4">
      <w:pPr>
        <w:pStyle w:val="FootnoteText"/>
      </w:pPr>
      <w:r>
        <w:rPr>
          <w:rStyle w:val="FootnoteReference"/>
        </w:rPr>
        <w:footnoteRef/>
      </w:r>
      <w:r>
        <w:t xml:space="preserve"> Gardner, 58</w:t>
      </w:r>
    </w:p>
  </w:footnote>
  <w:footnote w:id="6">
    <w:p w:rsidR="00D15AA4" w:rsidRDefault="00D15AA4" w:rsidP="00D15AA4">
      <w:pPr>
        <w:pStyle w:val="FootnoteText"/>
      </w:pPr>
      <w:r>
        <w:rPr>
          <w:rStyle w:val="FootnoteReference"/>
        </w:rPr>
        <w:footnoteRef/>
      </w:r>
      <w:r>
        <w:t xml:space="preserve"> Lintott, </w:t>
      </w:r>
      <w:r w:rsidRPr="006A7A43">
        <w:rPr>
          <w:i/>
          <w:iCs/>
        </w:rPr>
        <w:t>The Assassination</w:t>
      </w:r>
      <w:r>
        <w:t xml:space="preserve">, in M. Griffin (ed), </w:t>
      </w:r>
      <w:r w:rsidRPr="006A7A43">
        <w:rPr>
          <w:i/>
          <w:iCs/>
        </w:rPr>
        <w:t>A Companion to Julius Caesar</w:t>
      </w:r>
      <w:r>
        <w:t>, Oxford: Blackwell, 2009), 72</w:t>
      </w:r>
    </w:p>
  </w:footnote>
  <w:footnote w:id="7">
    <w:p w:rsidR="00D15AA4" w:rsidRDefault="00D15AA4" w:rsidP="00D15AA4">
      <w:pPr>
        <w:pStyle w:val="FootnoteText"/>
      </w:pPr>
      <w:r>
        <w:rPr>
          <w:rStyle w:val="FootnoteReference"/>
        </w:rPr>
        <w:footnoteRef/>
      </w:r>
      <w:r>
        <w:t xml:space="preserve"> Lintott, 73</w:t>
      </w:r>
    </w:p>
  </w:footnote>
  <w:footnote w:id="8">
    <w:p w:rsidR="00D15AA4" w:rsidRDefault="00D15AA4" w:rsidP="00D15AA4">
      <w:pPr>
        <w:pStyle w:val="FootnoteText"/>
      </w:pPr>
      <w:r>
        <w:rPr>
          <w:rStyle w:val="FootnoteReference"/>
        </w:rPr>
        <w:footnoteRef/>
      </w:r>
      <w:r>
        <w:t xml:space="preserve"> Lintott, 73</w:t>
      </w:r>
    </w:p>
  </w:footnote>
  <w:footnote w:id="9">
    <w:p w:rsidR="00D15AA4" w:rsidRDefault="00D15AA4" w:rsidP="00D15AA4">
      <w:pPr>
        <w:pStyle w:val="FootnoteText"/>
      </w:pPr>
      <w:r>
        <w:rPr>
          <w:rStyle w:val="FootnoteReference"/>
        </w:rPr>
        <w:footnoteRef/>
      </w:r>
      <w:r>
        <w:t xml:space="preserve"> Lintott, 73</w:t>
      </w:r>
    </w:p>
  </w:footnote>
  <w:footnote w:id="10">
    <w:p w:rsidR="00D15AA4" w:rsidRDefault="00D15AA4" w:rsidP="00D15AA4">
      <w:pPr>
        <w:pStyle w:val="FootnoteText"/>
      </w:pPr>
      <w:r>
        <w:rPr>
          <w:rStyle w:val="FootnoteReference"/>
        </w:rPr>
        <w:footnoteRef/>
      </w:r>
      <w:r>
        <w:t xml:space="preserve"> Lintott, 76</w:t>
      </w:r>
    </w:p>
  </w:footnote>
  <w:footnote w:id="11">
    <w:p w:rsidR="00D15AA4" w:rsidRDefault="00D15AA4" w:rsidP="00D15AA4">
      <w:pPr>
        <w:pStyle w:val="FootnoteText"/>
      </w:pPr>
      <w:r>
        <w:rPr>
          <w:rStyle w:val="FootnoteReference"/>
        </w:rPr>
        <w:footnoteRef/>
      </w:r>
      <w:r>
        <w:t xml:space="preserve"> Lintott, 77</w:t>
      </w:r>
    </w:p>
  </w:footnote>
  <w:footnote w:id="12">
    <w:p w:rsidR="00D15AA4" w:rsidRDefault="00D15AA4" w:rsidP="00D15AA4">
      <w:pPr>
        <w:pStyle w:val="FootnoteText"/>
      </w:pPr>
      <w:r>
        <w:rPr>
          <w:rStyle w:val="FootnoteReference"/>
        </w:rPr>
        <w:footnoteRef/>
      </w:r>
      <w:r>
        <w:t xml:space="preserve"> Lintott, 78</w:t>
      </w:r>
    </w:p>
  </w:footnote>
  <w:footnote w:id="13">
    <w:p w:rsidR="00D15AA4" w:rsidRDefault="00D15AA4" w:rsidP="00D15AA4">
      <w:pPr>
        <w:pStyle w:val="FootnoteText"/>
      </w:pPr>
      <w:r>
        <w:rPr>
          <w:rStyle w:val="FootnoteReference"/>
        </w:rPr>
        <w:footnoteRef/>
      </w:r>
      <w:r>
        <w:t xml:space="preserve"> Lintott, 79</w:t>
      </w:r>
    </w:p>
  </w:footnote>
  <w:footnote w:id="14">
    <w:p w:rsidR="00D15AA4" w:rsidRDefault="00D15AA4" w:rsidP="00D15AA4">
      <w:pPr>
        <w:pStyle w:val="FootnoteText"/>
      </w:pPr>
      <w:r>
        <w:rPr>
          <w:rStyle w:val="FootnoteReference"/>
        </w:rPr>
        <w:footnoteRef/>
      </w:r>
      <w:r>
        <w:t xml:space="preserve"> Lintott, 79</w:t>
      </w:r>
    </w:p>
  </w:footnote>
  <w:footnote w:id="15">
    <w:p w:rsidR="00D15AA4" w:rsidRDefault="00D15AA4" w:rsidP="00D15AA4">
      <w:pPr>
        <w:pStyle w:val="FootnoteText"/>
      </w:pPr>
      <w:r>
        <w:rPr>
          <w:rStyle w:val="FootnoteReference"/>
        </w:rPr>
        <w:footnoteRef/>
      </w:r>
      <w:r>
        <w:t xml:space="preserve"> Gardner, 58</w:t>
      </w:r>
    </w:p>
  </w:footnote>
  <w:footnote w:id="16">
    <w:p w:rsidR="00D15AA4" w:rsidRDefault="00D15AA4" w:rsidP="00D15AA4">
      <w:pPr>
        <w:pStyle w:val="FootnoteText"/>
      </w:pPr>
      <w:r>
        <w:rPr>
          <w:rStyle w:val="FootnoteReference"/>
        </w:rPr>
        <w:footnoteRef/>
      </w:r>
      <w:r>
        <w:t xml:space="preserve"> Lintott, 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CC664C"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824B5F"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444A2B">
          <w:rPr>
            <w:rFonts w:ascii="Times New Roman" w:hAnsi="Times New Roman" w:cs="Times New Roman"/>
            <w:noProof/>
            <w:sz w:val="24"/>
            <w:szCs w:val="24"/>
          </w:rPr>
          <w:t>4</w:t>
        </w:r>
        <w:r w:rsidRPr="001A07B1">
          <w:rPr>
            <w:rFonts w:ascii="Times New Roman" w:hAnsi="Times New Roman" w:cs="Times New Roman"/>
            <w:noProof/>
            <w:sz w:val="24"/>
            <w:szCs w:val="24"/>
          </w:rPr>
          <w:fldChar w:fldCharType="end"/>
        </w:r>
      </w:p>
    </w:sdtContent>
  </w:sdt>
  <w:p w:rsidR="001A07B1" w:rsidRDefault="00D920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5AA4"/>
    <w:rsid w:val="00030B1E"/>
    <w:rsid w:val="00230D5B"/>
    <w:rsid w:val="00444A2B"/>
    <w:rsid w:val="00550978"/>
    <w:rsid w:val="006339BE"/>
    <w:rsid w:val="0080095B"/>
    <w:rsid w:val="00803B1C"/>
    <w:rsid w:val="00824B5F"/>
    <w:rsid w:val="00CC664C"/>
    <w:rsid w:val="00D15AA4"/>
    <w:rsid w:val="00D9200C"/>
    <w:rsid w:val="00E25F9A"/>
    <w:rsid w:val="00E62427"/>
    <w:rsid w:val="00F96E27"/>
    <w:rsid w:val="00FF4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5A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AA4"/>
  </w:style>
  <w:style w:type="character" w:styleId="Hyperlink">
    <w:name w:val="Hyperlink"/>
    <w:basedOn w:val="DefaultParagraphFont"/>
    <w:uiPriority w:val="99"/>
    <w:unhideWhenUsed/>
    <w:rsid w:val="00D15AA4"/>
    <w:rPr>
      <w:color w:val="0563C1" w:themeColor="hyperlink"/>
      <w:u w:val="single"/>
    </w:rPr>
  </w:style>
  <w:style w:type="character" w:styleId="Strong">
    <w:name w:val="Strong"/>
    <w:basedOn w:val="DefaultParagraphFont"/>
    <w:uiPriority w:val="22"/>
    <w:qFormat/>
    <w:rsid w:val="00D15AA4"/>
    <w:rPr>
      <w:b/>
      <w:bCs/>
    </w:rPr>
  </w:style>
  <w:style w:type="character" w:styleId="Emphasis">
    <w:name w:val="Emphasis"/>
    <w:basedOn w:val="DefaultParagraphFont"/>
    <w:uiPriority w:val="20"/>
    <w:qFormat/>
    <w:rsid w:val="00D15AA4"/>
    <w:rPr>
      <w:i/>
      <w:iCs/>
    </w:rPr>
  </w:style>
  <w:style w:type="paragraph" w:styleId="FootnoteText">
    <w:name w:val="footnote text"/>
    <w:basedOn w:val="Normal"/>
    <w:link w:val="FootnoteTextChar"/>
    <w:uiPriority w:val="99"/>
    <w:semiHidden/>
    <w:unhideWhenUsed/>
    <w:rsid w:val="00D15A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AA4"/>
    <w:rPr>
      <w:sz w:val="20"/>
      <w:szCs w:val="20"/>
    </w:rPr>
  </w:style>
  <w:style w:type="character" w:styleId="FootnoteReference">
    <w:name w:val="footnote reference"/>
    <w:basedOn w:val="DefaultParagraphFont"/>
    <w:uiPriority w:val="99"/>
    <w:semiHidden/>
    <w:unhideWhenUsed/>
    <w:rsid w:val="00D15AA4"/>
    <w:rPr>
      <w:vertAlign w:val="superscript"/>
    </w:rPr>
  </w:style>
  <w:style w:type="paragraph" w:styleId="Footer">
    <w:name w:val="footer"/>
    <w:basedOn w:val="Normal"/>
    <w:link w:val="FooterChar"/>
    <w:uiPriority w:val="99"/>
    <w:unhideWhenUsed/>
    <w:rsid w:val="00030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1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2021-04-13T08:18:00Z</dcterms:created>
  <dcterms:modified xsi:type="dcterms:W3CDTF">2021-04-13T08:18:00Z</dcterms:modified>
</cp:coreProperties>
</file>